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TSG RAN WG1 </w:t>
      </w:r>
      <w:r w:rsidR="00576782" w:rsidRPr="00576782">
        <w:rPr>
          <w:lang w:eastAsia="zh-CN"/>
        </w:rPr>
        <w:t xml:space="preserve">LAA </w:t>
      </w:r>
      <w:r w:rsidR="00576782">
        <w:rPr>
          <w:lang w:eastAsia="zh-CN"/>
        </w:rPr>
        <w:t xml:space="preserve">Meeting </w:t>
      </w:r>
      <w:r w:rsidR="00576782" w:rsidRPr="00576782">
        <w:rPr>
          <w:lang w:eastAsia="zh-CN"/>
        </w:rPr>
        <w:t>(Ad Hoc)</w:t>
      </w:r>
      <w:r w:rsidR="00BE6A3E">
        <w:rPr>
          <w:lang w:eastAsia="zh-CN"/>
        </w:rPr>
        <w:t xml:space="preserve"> </w:t>
      </w:r>
      <w:r w:rsidR="00BE6A3E">
        <w:rPr>
          <w:lang w:eastAsia="zh-CN"/>
        </w:rPr>
        <w:tab/>
      </w:r>
      <w:r w:rsidR="00BE6A3E" w:rsidRPr="008C1337">
        <w:rPr>
          <w:lang w:eastAsia="zh-CN"/>
        </w:rPr>
        <w:t>R1-</w:t>
      </w:r>
      <w:r w:rsidR="009303F9" w:rsidRPr="008C1337">
        <w:rPr>
          <w:lang w:eastAsia="zh-CN"/>
        </w:rPr>
        <w:t>1</w:t>
      </w:r>
      <w:r w:rsidR="00576782">
        <w:rPr>
          <w:lang w:eastAsia="zh-CN"/>
        </w:rPr>
        <w:t>5</w:t>
      </w:r>
      <w:r w:rsidR="00950EF5">
        <w:rPr>
          <w:lang w:eastAsia="zh-CN"/>
        </w:rPr>
        <w:t>1074</w:t>
      </w:r>
    </w:p>
    <w:p w:rsidR="009D28E1" w:rsidRDefault="00576782" w:rsidP="009D28E1">
      <w:pPr>
        <w:pStyle w:val="Title"/>
        <w:pBdr>
          <w:top w:val="single" w:sz="12" w:space="5" w:color="auto"/>
          <w:bottom w:val="single" w:sz="12" w:space="7" w:color="auto"/>
        </w:pBdr>
        <w:tabs>
          <w:tab w:val="clear" w:pos="3780"/>
          <w:tab w:val="right" w:pos="8820"/>
        </w:tabs>
        <w:spacing w:after="0" w:line="240" w:lineRule="exact"/>
        <w:jc w:val="both"/>
        <w:rPr>
          <w:lang w:val="en-US" w:eastAsia="zh-CN"/>
        </w:rPr>
      </w:pPr>
      <w:r w:rsidRPr="00576782">
        <w:rPr>
          <w:lang w:val="en-US" w:eastAsia="zh-CN"/>
        </w:rPr>
        <w:t>Paris, France, 24</w:t>
      </w:r>
      <w:r w:rsidRPr="00222AB7">
        <w:rPr>
          <w:vertAlign w:val="superscript"/>
          <w:lang w:val="en-US" w:eastAsia="zh-CN"/>
        </w:rPr>
        <w:t>th</w:t>
      </w:r>
      <w:r w:rsidRPr="00576782">
        <w:rPr>
          <w:lang w:val="en-US" w:eastAsia="zh-CN"/>
        </w:rPr>
        <w:t xml:space="preserve"> – 26</w:t>
      </w:r>
      <w:r w:rsidRPr="00222AB7">
        <w:rPr>
          <w:vertAlign w:val="superscript"/>
          <w:lang w:val="en-US" w:eastAsia="zh-CN"/>
        </w:rPr>
        <w:t>th</w:t>
      </w:r>
      <w:r w:rsidRPr="00576782">
        <w:rPr>
          <w:lang w:val="en-US" w:eastAsia="zh-CN"/>
        </w:rPr>
        <w:t xml:space="preserve"> March 2015</w:t>
      </w:r>
      <w:r w:rsidR="0026519E">
        <w:rPr>
          <w:lang w:val="en-US" w:eastAsia="zh-CN"/>
        </w:rPr>
        <w:tab/>
      </w:r>
      <w:r w:rsidR="009D28E1" w:rsidRPr="009D28E1">
        <w:rPr>
          <w:b w:val="0"/>
          <w:sz w:val="16"/>
          <w:lang w:val="en-US" w:eastAsia="zh-CN"/>
        </w:rPr>
        <w:t>(Revision of R1-150193)</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797DBA" w:rsidRPr="00797DBA">
        <w:rPr>
          <w:lang w:val="en-US" w:eastAsia="zh-CN"/>
        </w:rPr>
        <w:t xml:space="preserve">Control </w:t>
      </w:r>
      <w:r w:rsidR="00797DBA">
        <w:rPr>
          <w:lang w:val="en-US" w:eastAsia="zh-CN"/>
        </w:rPr>
        <w:t>S</w:t>
      </w:r>
      <w:r w:rsidR="00797DBA" w:rsidRPr="00797DBA">
        <w:rPr>
          <w:lang w:val="en-US" w:eastAsia="zh-CN"/>
        </w:rPr>
        <w:t>ignaling for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576782">
        <w:rPr>
          <w:lang w:val="en-US" w:eastAsia="zh-CN"/>
        </w:rPr>
        <w:t>2.2</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637237" w:rsidRPr="00B05C92" w:rsidRDefault="00637237" w:rsidP="0047764C">
      <w:pPr>
        <w:rPr>
          <w:rFonts w:eastAsia="MS Mincho"/>
          <w:iCs/>
          <w:lang w:val="en-US" w:eastAsia="ja-JP"/>
        </w:rPr>
      </w:pPr>
      <w:r>
        <w:rPr>
          <w:lang w:eastAsia="zh-CN"/>
        </w:rPr>
        <w:t xml:space="preserve">In RAN#65, a new study item on licensed-assisted access (LAA) using LTE on unlicensed spectrum </w:t>
      </w:r>
      <w:r w:rsidR="009D28E1">
        <w:rPr>
          <w:lang w:eastAsia="zh-CN"/>
        </w:rPr>
        <w:fldChar w:fldCharType="begin"/>
      </w:r>
      <w:r>
        <w:rPr>
          <w:lang w:eastAsia="zh-CN"/>
        </w:rPr>
        <w:instrText xml:space="preserve"> REF _Ref398850322 \r \h </w:instrText>
      </w:r>
      <w:r w:rsidR="009D28E1">
        <w:rPr>
          <w:lang w:eastAsia="zh-CN"/>
        </w:rPr>
      </w:r>
      <w:r w:rsidR="009D28E1">
        <w:rPr>
          <w:lang w:eastAsia="zh-CN"/>
        </w:rPr>
        <w:fldChar w:fldCharType="separate"/>
      </w:r>
      <w:r w:rsidR="00DE35BA">
        <w:rPr>
          <w:lang w:eastAsia="zh-CN"/>
        </w:rPr>
        <w:t>[1]</w:t>
      </w:r>
      <w:r w:rsidR="009D28E1">
        <w:rPr>
          <w:lang w:eastAsia="zh-CN"/>
        </w:rPr>
        <w:fldChar w:fldCharType="end"/>
      </w:r>
      <w:r>
        <w:rPr>
          <w:lang w:eastAsia="zh-CN"/>
        </w:rPr>
        <w:t xml:space="preserve"> </w:t>
      </w:r>
      <w:r w:rsidR="00BB25CC">
        <w:rPr>
          <w:lang w:eastAsia="zh-CN"/>
        </w:rPr>
        <w:t>was</w:t>
      </w:r>
      <w:r>
        <w:rPr>
          <w:lang w:eastAsia="zh-CN"/>
        </w:rPr>
        <w:t xml:space="preserve"> approved. </w:t>
      </w:r>
      <w:r w:rsidR="00797DBA">
        <w:rPr>
          <w:lang w:eastAsia="zh-CN"/>
        </w:rPr>
        <w:t>In this contribution, we discuss the design for DL and UL control signalling in LAA.</w:t>
      </w:r>
    </w:p>
    <w:p w:rsidR="006E15FE" w:rsidRPr="00B05C92" w:rsidRDefault="006E15FE" w:rsidP="00637237">
      <w:pPr>
        <w:rPr>
          <w:lang w:val="en-US" w:eastAsia="zh-CN"/>
        </w:rPr>
      </w:pPr>
    </w:p>
    <w:p w:rsidR="00797DBA" w:rsidRDefault="00797DBA" w:rsidP="00D13696">
      <w:pPr>
        <w:pStyle w:val="Heading1"/>
        <w:numPr>
          <w:ilvl w:val="0"/>
          <w:numId w:val="21"/>
        </w:numPr>
        <w:jc w:val="both"/>
        <w:rPr>
          <w:lang w:eastAsia="zh-CN"/>
        </w:rPr>
      </w:pPr>
      <w:r>
        <w:rPr>
          <w:lang w:eastAsia="zh-CN"/>
        </w:rPr>
        <w:t>Control Signalling</w:t>
      </w:r>
    </w:p>
    <w:p w:rsidR="00797DBA" w:rsidRPr="00797DBA" w:rsidRDefault="00797DBA" w:rsidP="00797DBA">
      <w:pPr>
        <w:pStyle w:val="Heading1"/>
        <w:numPr>
          <w:ilvl w:val="1"/>
          <w:numId w:val="21"/>
        </w:numPr>
        <w:ind w:left="0" w:firstLine="0"/>
        <w:jc w:val="both"/>
        <w:rPr>
          <w:sz w:val="22"/>
          <w:lang w:eastAsia="zh-CN"/>
        </w:rPr>
      </w:pPr>
      <w:r w:rsidRPr="00797DBA">
        <w:rPr>
          <w:sz w:val="22"/>
          <w:lang w:eastAsia="zh-CN"/>
        </w:rPr>
        <w:t>UL Control Signalling</w:t>
      </w:r>
    </w:p>
    <w:p w:rsidR="00797DBA" w:rsidRDefault="00797DBA" w:rsidP="00D13696">
      <w:pPr>
        <w:rPr>
          <w:lang w:eastAsia="zh-CN"/>
        </w:rPr>
      </w:pPr>
      <w:r>
        <w:rPr>
          <w:lang w:eastAsia="zh-CN"/>
        </w:rPr>
        <w:t>In LTE, UL control signalling is carried on PUCCH or multiplexed on PUSCH.</w:t>
      </w:r>
    </w:p>
    <w:p w:rsidR="00797DBA" w:rsidRDefault="00797DBA" w:rsidP="00D13696">
      <w:pPr>
        <w:rPr>
          <w:lang w:eastAsia="zh-CN"/>
        </w:rPr>
      </w:pPr>
      <w:r>
        <w:rPr>
          <w:lang w:eastAsia="zh-CN"/>
        </w:rPr>
        <w:t xml:space="preserve">Until Rel-12, PUCCH is always on </w:t>
      </w:r>
      <w:proofErr w:type="spellStart"/>
      <w:r>
        <w:rPr>
          <w:lang w:eastAsia="zh-CN"/>
        </w:rPr>
        <w:t>PCell</w:t>
      </w:r>
      <w:proofErr w:type="spellEnd"/>
      <w:r>
        <w:rPr>
          <w:lang w:eastAsia="zh-CN"/>
        </w:rPr>
        <w:t xml:space="preserve"> for CA. With the new WI for CA enhancement beyond 5 carriers in Rel-13 </w:t>
      </w:r>
      <w:r w:rsidR="009D28E1">
        <w:rPr>
          <w:lang w:eastAsia="zh-CN"/>
        </w:rPr>
        <w:fldChar w:fldCharType="begin"/>
      </w:r>
      <w:r>
        <w:rPr>
          <w:lang w:eastAsia="zh-CN"/>
        </w:rPr>
        <w:instrText xml:space="preserve"> REF _Ref410164802 \r \h </w:instrText>
      </w:r>
      <w:r w:rsidR="009D28E1">
        <w:rPr>
          <w:lang w:eastAsia="zh-CN"/>
        </w:rPr>
      </w:r>
      <w:r w:rsidR="009D28E1">
        <w:rPr>
          <w:lang w:eastAsia="zh-CN"/>
        </w:rPr>
        <w:fldChar w:fldCharType="separate"/>
      </w:r>
      <w:r>
        <w:rPr>
          <w:lang w:eastAsia="zh-CN"/>
        </w:rPr>
        <w:t>[2]</w:t>
      </w:r>
      <w:r w:rsidR="009D28E1">
        <w:rPr>
          <w:lang w:eastAsia="zh-CN"/>
        </w:rPr>
        <w:fldChar w:fldCharType="end"/>
      </w:r>
      <w:r>
        <w:rPr>
          <w:lang w:eastAsia="zh-CN"/>
        </w:rPr>
        <w:t xml:space="preserve">, PUCCH will also be supported on </w:t>
      </w:r>
      <w:proofErr w:type="spellStart"/>
      <w:r>
        <w:rPr>
          <w:lang w:eastAsia="zh-CN"/>
        </w:rPr>
        <w:t>SCell</w:t>
      </w:r>
      <w:proofErr w:type="spellEnd"/>
      <w:r>
        <w:rPr>
          <w:lang w:eastAsia="zh-CN"/>
        </w:rPr>
        <w:t xml:space="preserve">. For LAA, because the UE may not have the access to the channel when PUCCH (carrying HARQ-ACK and/or CSI feedback) needs to be transmitted, it is not desirable to transmit PUCCH on an LAA carrier. If only one PUCCH is configured, it is always on </w:t>
      </w:r>
      <w:proofErr w:type="spellStart"/>
      <w:r>
        <w:rPr>
          <w:lang w:eastAsia="zh-CN"/>
        </w:rPr>
        <w:t>PCell</w:t>
      </w:r>
      <w:proofErr w:type="spellEnd"/>
      <w:r>
        <w:rPr>
          <w:lang w:eastAsia="zh-CN"/>
        </w:rPr>
        <w:t xml:space="preserve"> so this is not an issue. If there are more than one PUCCH configured, these multiple PUCCHs should all be configured on licensed carriers. This may affect how the PUCCH design is done in the CA enhancement WI.</w:t>
      </w:r>
    </w:p>
    <w:p w:rsidR="00797DBA" w:rsidRDefault="00797DBA" w:rsidP="00D13696">
      <w:pPr>
        <w:rPr>
          <w:lang w:eastAsia="zh-CN"/>
        </w:rPr>
      </w:pPr>
      <w:r w:rsidRPr="00797DBA">
        <w:rPr>
          <w:b/>
          <w:u w:val="single"/>
          <w:lang w:eastAsia="zh-CN"/>
        </w:rPr>
        <w:t>Proposal 1</w:t>
      </w:r>
      <w:r>
        <w:rPr>
          <w:lang w:eastAsia="zh-CN"/>
        </w:rPr>
        <w:t>: PUCCH is always transmitted on licensed carriers. This should be taken into consideration in the discussion of the CA enhancement WI.</w:t>
      </w:r>
    </w:p>
    <w:p w:rsidR="00797DBA" w:rsidRDefault="00797DBA" w:rsidP="00D13696">
      <w:pPr>
        <w:rPr>
          <w:lang w:eastAsia="zh-CN"/>
        </w:rPr>
      </w:pPr>
      <w:r>
        <w:rPr>
          <w:lang w:eastAsia="zh-CN"/>
        </w:rPr>
        <w:t xml:space="preserve">Currently if the UE does not support simultaneous PUCCH/PUSCH transmission, and PUSCH transmission and the control signalling occur in the same </w:t>
      </w:r>
      <w:proofErr w:type="spellStart"/>
      <w:r>
        <w:rPr>
          <w:lang w:eastAsia="zh-CN"/>
        </w:rPr>
        <w:t>subframe</w:t>
      </w:r>
      <w:proofErr w:type="spellEnd"/>
      <w:r>
        <w:rPr>
          <w:lang w:eastAsia="zh-CN"/>
        </w:rPr>
        <w:t xml:space="preserve">, the control signalling is multiplexed on PUSCH. In LAA, one issue with PUSCH transmission is that after the </w:t>
      </w:r>
      <w:proofErr w:type="spellStart"/>
      <w:r>
        <w:rPr>
          <w:lang w:eastAsia="zh-CN"/>
        </w:rPr>
        <w:t>eNB</w:t>
      </w:r>
      <w:proofErr w:type="spellEnd"/>
      <w:r>
        <w:rPr>
          <w:lang w:eastAsia="zh-CN"/>
        </w:rPr>
        <w:t xml:space="preserve"> schedules the PUSCH transmission, the UE may not be able to actually transmit it if the (e</w:t>
      </w:r>
      <w:proofErr w:type="gramStart"/>
      <w:r>
        <w:rPr>
          <w:lang w:eastAsia="zh-CN"/>
        </w:rPr>
        <w:t>)CCA</w:t>
      </w:r>
      <w:proofErr w:type="gramEnd"/>
      <w:r>
        <w:rPr>
          <w:lang w:eastAsia="zh-CN"/>
        </w:rPr>
        <w:t xml:space="preserve"> does not succeed. If UL control signalling is allowed to be multiplexed on PUSCH on LAA carrier, there is uncertainty whether it can be transmitted or not. Although fallback to the licensed carriers could be defined when this occurs, it would be simpler to prohibit the multiplexing of UL control signalling on PUSCH on LAA. In this case, the control </w:t>
      </w:r>
      <w:proofErr w:type="spellStart"/>
      <w:r>
        <w:rPr>
          <w:lang w:eastAsia="zh-CN"/>
        </w:rPr>
        <w:t>signaling</w:t>
      </w:r>
      <w:proofErr w:type="spellEnd"/>
      <w:r>
        <w:rPr>
          <w:lang w:eastAsia="zh-CN"/>
        </w:rPr>
        <w:t xml:space="preserve"> is either transmitted on PUCCH on a licensed carrier or multiplexed on PUSCH on a licensed carrier.</w:t>
      </w:r>
    </w:p>
    <w:p w:rsidR="00797DBA" w:rsidRDefault="00797DBA" w:rsidP="00D13696">
      <w:pPr>
        <w:rPr>
          <w:lang w:eastAsia="zh-CN"/>
        </w:rPr>
      </w:pPr>
      <w:r w:rsidRPr="00797DBA">
        <w:rPr>
          <w:b/>
          <w:u w:val="single"/>
          <w:lang w:eastAsia="zh-CN"/>
        </w:rPr>
        <w:t>Proposal 2</w:t>
      </w:r>
      <w:r>
        <w:rPr>
          <w:lang w:eastAsia="zh-CN"/>
        </w:rPr>
        <w:t xml:space="preserve">: UL control </w:t>
      </w:r>
      <w:proofErr w:type="spellStart"/>
      <w:r>
        <w:rPr>
          <w:lang w:eastAsia="zh-CN"/>
        </w:rPr>
        <w:t>signaling</w:t>
      </w:r>
      <w:proofErr w:type="spellEnd"/>
      <w:r>
        <w:rPr>
          <w:lang w:eastAsia="zh-CN"/>
        </w:rPr>
        <w:t xml:space="preserve"> is not multiplexed on PUSCH on LAA carrier. It is carried on PUCCH or PUSCH on licensed carriers.</w:t>
      </w:r>
    </w:p>
    <w:p w:rsidR="00797DBA" w:rsidRPr="00797DBA" w:rsidRDefault="00797DBA" w:rsidP="00797DBA">
      <w:pPr>
        <w:pStyle w:val="Heading1"/>
        <w:numPr>
          <w:ilvl w:val="1"/>
          <w:numId w:val="21"/>
        </w:numPr>
        <w:ind w:left="0" w:firstLine="0"/>
        <w:jc w:val="both"/>
        <w:rPr>
          <w:sz w:val="22"/>
          <w:lang w:eastAsia="zh-CN"/>
        </w:rPr>
      </w:pPr>
      <w:r>
        <w:rPr>
          <w:sz w:val="22"/>
          <w:lang w:eastAsia="zh-CN"/>
        </w:rPr>
        <w:t>(E)PDCCH</w:t>
      </w:r>
    </w:p>
    <w:p w:rsidR="00797DBA" w:rsidRDefault="00797DBA" w:rsidP="00D13696">
      <w:pPr>
        <w:rPr>
          <w:lang w:eastAsia="zh-CN"/>
        </w:rPr>
      </w:pPr>
      <w:r>
        <w:rPr>
          <w:lang w:eastAsia="zh-CN"/>
        </w:rPr>
        <w:t>Generally speaking, transmission on a licensed carrier is more reliable than that on an LAA carrier. To take advantage of the reliability on the licensed carrier, an LAA carrier could always be cross-scheduled by a licensed carrier, so that DL/UL grants for the LAA carrier are transmitted on the (E</w:t>
      </w:r>
      <w:proofErr w:type="gramStart"/>
      <w:r>
        <w:rPr>
          <w:lang w:eastAsia="zh-CN"/>
        </w:rPr>
        <w:t>)PDCCH</w:t>
      </w:r>
      <w:proofErr w:type="gramEnd"/>
      <w:r>
        <w:rPr>
          <w:lang w:eastAsia="zh-CN"/>
        </w:rPr>
        <w:t xml:space="preserve"> on the licensed carrier. However, there could be some potential issues with this approach:</w:t>
      </w:r>
    </w:p>
    <w:p w:rsidR="00797DBA" w:rsidRDefault="00797DBA" w:rsidP="00797DBA">
      <w:pPr>
        <w:pStyle w:val="ListParagraph"/>
        <w:numPr>
          <w:ilvl w:val="0"/>
          <w:numId w:val="29"/>
        </w:numPr>
        <w:ind w:firstLineChars="0"/>
        <w:rPr>
          <w:rFonts w:ascii="Times New Roman" w:hAnsi="Times New Roman"/>
          <w:sz w:val="22"/>
        </w:rPr>
      </w:pPr>
      <w:r w:rsidRPr="00797DBA">
        <w:rPr>
          <w:rFonts w:ascii="Times New Roman" w:hAnsi="Times New Roman"/>
          <w:sz w:val="22"/>
        </w:rPr>
        <w:t>There can be a large number of unlicensed carriers configured</w:t>
      </w:r>
      <w:r>
        <w:rPr>
          <w:rFonts w:ascii="Times New Roman" w:hAnsi="Times New Roman"/>
          <w:sz w:val="22"/>
        </w:rPr>
        <w:t xml:space="preserve"> with a single licensed carrier. If all the unlicensed carriers are cross-scheduled by the licensed carrier, it can use a significant amount of resources on the licensed carrier, leaving little resources to serve the </w:t>
      </w:r>
      <w:r>
        <w:rPr>
          <w:rFonts w:ascii="Times New Roman" w:hAnsi="Times New Roman"/>
          <w:sz w:val="22"/>
        </w:rPr>
        <w:lastRenderedPageBreak/>
        <w:t>non-LAA UEs.</w:t>
      </w:r>
    </w:p>
    <w:p w:rsidR="00797DBA" w:rsidRDefault="00797DBA" w:rsidP="00797DBA">
      <w:pPr>
        <w:pStyle w:val="ListParagraph"/>
        <w:numPr>
          <w:ilvl w:val="0"/>
          <w:numId w:val="29"/>
        </w:numPr>
        <w:ind w:firstLineChars="0"/>
        <w:rPr>
          <w:rFonts w:ascii="Times New Roman" w:hAnsi="Times New Roman"/>
          <w:sz w:val="22"/>
        </w:rPr>
      </w:pPr>
      <w:r>
        <w:rPr>
          <w:rFonts w:ascii="Times New Roman" w:hAnsi="Times New Roman"/>
          <w:sz w:val="22"/>
        </w:rPr>
        <w:t xml:space="preserve">If the scheduling cell is a TDD cell, some DL and/or UL </w:t>
      </w:r>
      <w:proofErr w:type="spellStart"/>
      <w:r>
        <w:rPr>
          <w:rFonts w:ascii="Times New Roman" w:hAnsi="Times New Roman"/>
          <w:sz w:val="22"/>
        </w:rPr>
        <w:t>subframes</w:t>
      </w:r>
      <w:proofErr w:type="spellEnd"/>
      <w:r>
        <w:rPr>
          <w:rFonts w:ascii="Times New Roman" w:hAnsi="Times New Roman"/>
          <w:sz w:val="22"/>
        </w:rPr>
        <w:t xml:space="preserve"> on the LAA carrier are not schedulable unless cross-</w:t>
      </w:r>
      <w:proofErr w:type="spellStart"/>
      <w:r>
        <w:rPr>
          <w:rFonts w:ascii="Times New Roman" w:hAnsi="Times New Roman"/>
          <w:sz w:val="22"/>
        </w:rPr>
        <w:t>subframe</w:t>
      </w:r>
      <w:proofErr w:type="spellEnd"/>
      <w:r>
        <w:rPr>
          <w:rFonts w:ascii="Times New Roman" w:hAnsi="Times New Roman"/>
          <w:sz w:val="22"/>
        </w:rPr>
        <w:t xml:space="preserve"> or multi-</w:t>
      </w:r>
      <w:proofErr w:type="spellStart"/>
      <w:r>
        <w:rPr>
          <w:rFonts w:ascii="Times New Roman" w:hAnsi="Times New Roman"/>
          <w:sz w:val="22"/>
        </w:rPr>
        <w:t>subframe</w:t>
      </w:r>
      <w:proofErr w:type="spellEnd"/>
      <w:r>
        <w:rPr>
          <w:rFonts w:ascii="Times New Roman" w:hAnsi="Times New Roman"/>
          <w:sz w:val="22"/>
        </w:rPr>
        <w:t xml:space="preserve"> scheduling is introduced.</w:t>
      </w:r>
    </w:p>
    <w:p w:rsidR="00797DBA" w:rsidRDefault="00797DBA" w:rsidP="00797DBA">
      <w:pPr>
        <w:pStyle w:val="ListParagraph"/>
        <w:numPr>
          <w:ilvl w:val="0"/>
          <w:numId w:val="29"/>
        </w:numPr>
        <w:ind w:firstLineChars="0"/>
        <w:rPr>
          <w:rFonts w:ascii="Times New Roman" w:hAnsi="Times New Roman"/>
          <w:sz w:val="22"/>
        </w:rPr>
      </w:pPr>
      <w:r>
        <w:rPr>
          <w:rFonts w:ascii="Times New Roman" w:hAnsi="Times New Roman"/>
          <w:sz w:val="22"/>
        </w:rPr>
        <w:t xml:space="preserve">Usually the </w:t>
      </w:r>
      <w:proofErr w:type="spellStart"/>
      <w:r>
        <w:rPr>
          <w:rFonts w:ascii="Times New Roman" w:hAnsi="Times New Roman"/>
          <w:sz w:val="22"/>
        </w:rPr>
        <w:t>eNB</w:t>
      </w:r>
      <w:proofErr w:type="spellEnd"/>
      <w:r>
        <w:rPr>
          <w:rFonts w:ascii="Times New Roman" w:hAnsi="Times New Roman"/>
          <w:sz w:val="22"/>
        </w:rPr>
        <w:t xml:space="preserve"> needs to perform the scheduling for (E</w:t>
      </w:r>
      <w:proofErr w:type="gramStart"/>
      <w:r>
        <w:rPr>
          <w:rFonts w:ascii="Times New Roman" w:hAnsi="Times New Roman"/>
          <w:sz w:val="22"/>
        </w:rPr>
        <w:t>)PDCCH</w:t>
      </w:r>
      <w:proofErr w:type="gramEnd"/>
      <w:r>
        <w:rPr>
          <w:rFonts w:ascii="Times New Roman" w:hAnsi="Times New Roman"/>
          <w:sz w:val="22"/>
        </w:rPr>
        <w:t xml:space="preserve"> in advance (e.g. hundreds of ms before the actual transmission). At this time, the </w:t>
      </w:r>
      <w:proofErr w:type="spellStart"/>
      <w:r>
        <w:rPr>
          <w:rFonts w:ascii="Times New Roman" w:hAnsi="Times New Roman"/>
          <w:sz w:val="22"/>
        </w:rPr>
        <w:t>eNB</w:t>
      </w:r>
      <w:proofErr w:type="spellEnd"/>
      <w:r>
        <w:rPr>
          <w:rFonts w:ascii="Times New Roman" w:hAnsi="Times New Roman"/>
          <w:sz w:val="22"/>
        </w:rPr>
        <w:t xml:space="preserve"> may not know yet whether the (e</w:t>
      </w:r>
      <w:proofErr w:type="gramStart"/>
      <w:r>
        <w:rPr>
          <w:rFonts w:ascii="Times New Roman" w:hAnsi="Times New Roman"/>
          <w:sz w:val="22"/>
        </w:rPr>
        <w:t>)CCA</w:t>
      </w:r>
      <w:proofErr w:type="gramEnd"/>
      <w:r>
        <w:rPr>
          <w:rFonts w:ascii="Times New Roman" w:hAnsi="Times New Roman"/>
          <w:sz w:val="22"/>
        </w:rPr>
        <w:t xml:space="preserve"> check would pass on the LAA carrier(s), even when it has data to schedule.</w:t>
      </w:r>
    </w:p>
    <w:p w:rsidR="00797DBA" w:rsidRDefault="00797DBA" w:rsidP="00797DBA">
      <w:pPr>
        <w:pStyle w:val="ListParagraph"/>
        <w:numPr>
          <w:ilvl w:val="1"/>
          <w:numId w:val="29"/>
        </w:numPr>
        <w:ind w:firstLineChars="0"/>
        <w:rPr>
          <w:rFonts w:ascii="Times New Roman" w:hAnsi="Times New Roman"/>
          <w:sz w:val="22"/>
        </w:rPr>
      </w:pPr>
      <w:r>
        <w:rPr>
          <w:rFonts w:ascii="Times New Roman" w:hAnsi="Times New Roman"/>
          <w:sz w:val="22"/>
        </w:rPr>
        <w:t xml:space="preserve">If the </w:t>
      </w:r>
      <w:proofErr w:type="spellStart"/>
      <w:r>
        <w:rPr>
          <w:rFonts w:ascii="Times New Roman" w:hAnsi="Times New Roman"/>
          <w:sz w:val="22"/>
        </w:rPr>
        <w:t>eNB</w:t>
      </w:r>
      <w:proofErr w:type="spellEnd"/>
      <w:r>
        <w:rPr>
          <w:rFonts w:ascii="Times New Roman" w:hAnsi="Times New Roman"/>
          <w:sz w:val="22"/>
        </w:rPr>
        <w:t xml:space="preserve"> does the scheduling without considering the LAA carrier(s), it may result in the case where the (E</w:t>
      </w:r>
      <w:proofErr w:type="gramStart"/>
      <w:r>
        <w:rPr>
          <w:rFonts w:ascii="Times New Roman" w:hAnsi="Times New Roman"/>
          <w:sz w:val="22"/>
        </w:rPr>
        <w:t>)PDCCH</w:t>
      </w:r>
      <w:proofErr w:type="gramEnd"/>
      <w:r>
        <w:rPr>
          <w:rFonts w:ascii="Times New Roman" w:hAnsi="Times New Roman"/>
          <w:sz w:val="22"/>
        </w:rPr>
        <w:t xml:space="preserve"> for the LAA carrier(s) can no longer be scheduled after (e)CCA check success due to lack of resources on the licensed carrier.</w:t>
      </w:r>
    </w:p>
    <w:p w:rsidR="00797DBA" w:rsidRPr="00797DBA" w:rsidRDefault="00797DBA" w:rsidP="00797DBA">
      <w:pPr>
        <w:pStyle w:val="ListParagraph"/>
        <w:numPr>
          <w:ilvl w:val="1"/>
          <w:numId w:val="29"/>
        </w:numPr>
        <w:ind w:firstLineChars="0"/>
        <w:rPr>
          <w:rFonts w:ascii="Times New Roman" w:hAnsi="Times New Roman"/>
          <w:sz w:val="22"/>
        </w:rPr>
      </w:pPr>
      <w:r>
        <w:rPr>
          <w:rFonts w:ascii="Times New Roman" w:hAnsi="Times New Roman"/>
          <w:sz w:val="22"/>
        </w:rPr>
        <w:t xml:space="preserve">If the </w:t>
      </w:r>
      <w:proofErr w:type="spellStart"/>
      <w:r>
        <w:rPr>
          <w:rFonts w:ascii="Times New Roman" w:hAnsi="Times New Roman"/>
          <w:sz w:val="22"/>
        </w:rPr>
        <w:t>eNB</w:t>
      </w:r>
      <w:proofErr w:type="spellEnd"/>
      <w:r>
        <w:rPr>
          <w:rFonts w:ascii="Times New Roman" w:hAnsi="Times New Roman"/>
          <w:sz w:val="22"/>
        </w:rPr>
        <w:t xml:space="preserve"> does the scheduling assuming transmissions on the LAA carrier(s), it would result in the waste of resource on (E</w:t>
      </w:r>
      <w:proofErr w:type="gramStart"/>
      <w:r>
        <w:rPr>
          <w:rFonts w:ascii="Times New Roman" w:hAnsi="Times New Roman"/>
          <w:sz w:val="22"/>
        </w:rPr>
        <w:t>)PDCCH</w:t>
      </w:r>
      <w:proofErr w:type="gramEnd"/>
      <w:r>
        <w:rPr>
          <w:rFonts w:ascii="Times New Roman" w:hAnsi="Times New Roman"/>
          <w:sz w:val="22"/>
        </w:rPr>
        <w:t xml:space="preserve"> if (e)CCA check fails later.</w:t>
      </w:r>
    </w:p>
    <w:p w:rsidR="00797DBA" w:rsidRDefault="00797DBA" w:rsidP="00D13696">
      <w:pPr>
        <w:rPr>
          <w:lang w:eastAsia="zh-CN"/>
        </w:rPr>
      </w:pPr>
      <w:r>
        <w:rPr>
          <w:lang w:eastAsia="zh-CN"/>
        </w:rPr>
        <w:t>Given these issues, the (E</w:t>
      </w:r>
      <w:proofErr w:type="gramStart"/>
      <w:r>
        <w:rPr>
          <w:lang w:eastAsia="zh-CN"/>
        </w:rPr>
        <w:t>)PDCCH</w:t>
      </w:r>
      <w:proofErr w:type="gramEnd"/>
      <w:r>
        <w:rPr>
          <w:lang w:eastAsia="zh-CN"/>
        </w:rPr>
        <w:t xml:space="preserve"> should not be restricted to the licensed carriers. Self-scheduling on the LAA carrier should be supported as well.</w:t>
      </w:r>
      <w:r w:rsidR="00847499">
        <w:rPr>
          <w:lang w:eastAsia="zh-CN"/>
        </w:rPr>
        <w:t xml:space="preserve"> (E)PDCCH on an LAA carrier is typically considered as less reliable that on a licensed carrier. However, for DL, (E</w:t>
      </w:r>
      <w:proofErr w:type="gramStart"/>
      <w:r w:rsidR="00847499">
        <w:rPr>
          <w:lang w:eastAsia="zh-CN"/>
        </w:rPr>
        <w:t>)PDCCH</w:t>
      </w:r>
      <w:proofErr w:type="gramEnd"/>
      <w:r w:rsidR="00847499">
        <w:rPr>
          <w:lang w:eastAsia="zh-CN"/>
        </w:rPr>
        <w:t xml:space="preserve"> and PDSCH are transmitted in the same </w:t>
      </w:r>
      <w:proofErr w:type="spellStart"/>
      <w:r w:rsidR="00847499">
        <w:rPr>
          <w:lang w:eastAsia="zh-CN"/>
        </w:rPr>
        <w:t>subframe</w:t>
      </w:r>
      <w:proofErr w:type="spellEnd"/>
      <w:r w:rsidR="00847499">
        <w:rPr>
          <w:lang w:eastAsia="zh-CN"/>
        </w:rPr>
        <w:t xml:space="preserve">. If the increased interference results in a missed grant, the PDSCH signal is affected by the increased interference also. So it may not be a </w:t>
      </w:r>
      <w:r w:rsidR="00222AB7">
        <w:rPr>
          <w:lang w:eastAsia="zh-CN"/>
        </w:rPr>
        <w:t>significant loss</w:t>
      </w:r>
      <w:r w:rsidR="00847499">
        <w:rPr>
          <w:lang w:eastAsia="zh-CN"/>
        </w:rPr>
        <w:t xml:space="preserve"> to lose a packet transmission with poor quality.</w:t>
      </w:r>
    </w:p>
    <w:p w:rsidR="00797DBA" w:rsidRDefault="00797DBA" w:rsidP="00D13696">
      <w:pPr>
        <w:rPr>
          <w:lang w:eastAsia="zh-CN"/>
        </w:rPr>
      </w:pPr>
      <w:r w:rsidRPr="00797DBA">
        <w:rPr>
          <w:b/>
          <w:u w:val="single"/>
          <w:lang w:eastAsia="zh-CN"/>
        </w:rPr>
        <w:t>Proposal 3</w:t>
      </w:r>
      <w:r>
        <w:rPr>
          <w:lang w:eastAsia="zh-CN"/>
        </w:rPr>
        <w:t>: Both self-scheduling and cross-carrier scheduling should be supported for LAA carriers.</w:t>
      </w:r>
    </w:p>
    <w:p w:rsidR="00222AB7" w:rsidRPr="00797DBA" w:rsidRDefault="00222AB7" w:rsidP="00222AB7">
      <w:pPr>
        <w:pStyle w:val="Heading1"/>
        <w:numPr>
          <w:ilvl w:val="1"/>
          <w:numId w:val="21"/>
        </w:numPr>
        <w:ind w:left="0" w:firstLine="0"/>
        <w:jc w:val="both"/>
        <w:rPr>
          <w:sz w:val="22"/>
          <w:lang w:eastAsia="zh-CN"/>
        </w:rPr>
      </w:pPr>
      <w:r>
        <w:rPr>
          <w:sz w:val="22"/>
          <w:lang w:eastAsia="zh-CN"/>
        </w:rPr>
        <w:t>PHICH</w:t>
      </w:r>
    </w:p>
    <w:p w:rsidR="00222AB7" w:rsidRDefault="00222AB7" w:rsidP="00D13696">
      <w:pPr>
        <w:rPr>
          <w:lang w:eastAsia="zh-CN"/>
        </w:rPr>
      </w:pPr>
      <w:r>
        <w:rPr>
          <w:lang w:eastAsia="zh-CN"/>
        </w:rPr>
        <w:t>Currently PHICH is carried on the carrier that schedules the transmission.</w:t>
      </w:r>
    </w:p>
    <w:p w:rsidR="00797DBA" w:rsidRDefault="00222AB7" w:rsidP="00D13696">
      <w:pPr>
        <w:rPr>
          <w:lang w:eastAsia="zh-CN"/>
        </w:rPr>
      </w:pPr>
      <w:r>
        <w:rPr>
          <w:lang w:eastAsia="zh-CN"/>
        </w:rPr>
        <w:t>When the LAA UL is cross scheduled by a licensed carrier, PHICH would be carried on the licensed carrier. This can potentially increase the collision probability on PHICH, which can be significant when multiple LAA carriers are scheduled by the same licensed carrier.</w:t>
      </w:r>
    </w:p>
    <w:p w:rsidR="00222AB7" w:rsidRDefault="00222AB7" w:rsidP="00D13696">
      <w:pPr>
        <w:rPr>
          <w:lang w:eastAsia="zh-CN"/>
        </w:rPr>
      </w:pPr>
      <w:r>
        <w:rPr>
          <w:lang w:eastAsia="zh-CN"/>
        </w:rPr>
        <w:t xml:space="preserve">When the LAA UL is scheduled by the same LAA carrier, </w:t>
      </w:r>
      <w:r w:rsidR="00E01290">
        <w:rPr>
          <w:lang w:eastAsia="zh-CN"/>
        </w:rPr>
        <w:t>PHICH should be sent on the same carrier. But if LBT is always required, PHICH may not get transmitted. If no additional enhancement is introduced, PHICH-less operation would be used in this case, where the retransmission could be triggered by another UL grant.</w:t>
      </w:r>
    </w:p>
    <w:p w:rsidR="00E01290" w:rsidRDefault="00E01290" w:rsidP="00D13696">
      <w:pPr>
        <w:rPr>
          <w:lang w:eastAsia="zh-CN"/>
        </w:rPr>
      </w:pPr>
      <w:r>
        <w:rPr>
          <w:lang w:eastAsia="zh-CN"/>
        </w:rPr>
        <w:t xml:space="preserve">The above analysis assumes synchronous HARQ on UL. However, due to discontinuous transmission on LAA, synchronous HARQ may no longer be </w:t>
      </w:r>
      <w:r w:rsidR="005E6200">
        <w:rPr>
          <w:lang w:eastAsia="zh-CN"/>
        </w:rPr>
        <w:t>the best way.</w:t>
      </w:r>
      <w:r>
        <w:rPr>
          <w:lang w:eastAsia="zh-CN"/>
        </w:rPr>
        <w:t xml:space="preserve"> </w:t>
      </w:r>
      <w:r w:rsidR="005E6200">
        <w:rPr>
          <w:lang w:eastAsia="zh-CN"/>
        </w:rPr>
        <w:t>A</w:t>
      </w:r>
      <w:r>
        <w:rPr>
          <w:lang w:eastAsia="zh-CN"/>
        </w:rPr>
        <w:t xml:space="preserve">synchronous HARQ </w:t>
      </w:r>
      <w:r w:rsidR="003150C1">
        <w:rPr>
          <w:lang w:eastAsia="zh-CN"/>
        </w:rPr>
        <w:t>would</w:t>
      </w:r>
      <w:r>
        <w:rPr>
          <w:lang w:eastAsia="zh-CN"/>
        </w:rPr>
        <w:t xml:space="preserve"> be beneficial</w:t>
      </w:r>
      <w:r w:rsidR="003150C1">
        <w:rPr>
          <w:lang w:eastAsia="zh-CN"/>
        </w:rPr>
        <w:t xml:space="preserve">, as discussed in our companion contribution </w:t>
      </w:r>
      <w:r w:rsidR="009D28E1">
        <w:rPr>
          <w:lang w:eastAsia="zh-CN"/>
        </w:rPr>
        <w:fldChar w:fldCharType="begin"/>
      </w:r>
      <w:r w:rsidR="003150C1">
        <w:rPr>
          <w:lang w:eastAsia="zh-CN"/>
        </w:rPr>
        <w:instrText xml:space="preserve"> REF _Ref414397190 \r \h </w:instrText>
      </w:r>
      <w:r w:rsidR="009D28E1">
        <w:rPr>
          <w:lang w:eastAsia="zh-CN"/>
        </w:rPr>
      </w:r>
      <w:r w:rsidR="009D28E1">
        <w:rPr>
          <w:lang w:eastAsia="zh-CN"/>
        </w:rPr>
        <w:fldChar w:fldCharType="separate"/>
      </w:r>
      <w:r w:rsidR="003150C1">
        <w:rPr>
          <w:lang w:eastAsia="zh-CN"/>
        </w:rPr>
        <w:t>[3]</w:t>
      </w:r>
      <w:r w:rsidR="009D28E1">
        <w:rPr>
          <w:lang w:eastAsia="zh-CN"/>
        </w:rPr>
        <w:fldChar w:fldCharType="end"/>
      </w:r>
      <w:r>
        <w:rPr>
          <w:lang w:eastAsia="zh-CN"/>
        </w:rPr>
        <w:t>.</w:t>
      </w:r>
      <w:r w:rsidR="005E6200">
        <w:rPr>
          <w:lang w:eastAsia="zh-CN"/>
        </w:rPr>
        <w:t xml:space="preserve"> If asynchronous HARQ is used, the UE would naturally depend on the UL grant for retransmission, and there would be no need for PHICH transmission.</w:t>
      </w:r>
    </w:p>
    <w:p w:rsidR="005E6200" w:rsidRDefault="009D28E1" w:rsidP="00D13696">
      <w:pPr>
        <w:rPr>
          <w:lang w:eastAsia="zh-CN"/>
        </w:rPr>
      </w:pPr>
      <w:r w:rsidRPr="009D28E1">
        <w:rPr>
          <w:b/>
          <w:u w:val="single"/>
          <w:lang w:eastAsia="zh-CN"/>
        </w:rPr>
        <w:t>Observation</w:t>
      </w:r>
      <w:r w:rsidR="005E6200">
        <w:rPr>
          <w:lang w:eastAsia="zh-CN"/>
        </w:rPr>
        <w:t>: Whether to have/enhance PHICH would depend on how UL HARQ is handled in LAA.</w:t>
      </w:r>
      <w:r w:rsidR="003150C1">
        <w:rPr>
          <w:lang w:eastAsia="zh-CN"/>
        </w:rPr>
        <w:t xml:space="preserve"> If asynchronous HARQ is supported, PHICH is no longer necessary.</w:t>
      </w:r>
    </w:p>
    <w:p w:rsidR="00222AB7" w:rsidRDefault="00222AB7" w:rsidP="00D13696">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227D82">
        <w:rPr>
          <w:color w:val="000000"/>
          <w:lang w:val="en-US" w:eastAsia="zh-CN"/>
        </w:rPr>
        <w:t xml:space="preserve"> the </w:t>
      </w:r>
      <w:r w:rsidR="00797DBA">
        <w:rPr>
          <w:color w:val="000000"/>
          <w:lang w:val="en-US" w:eastAsia="zh-CN"/>
        </w:rPr>
        <w:t>control signaling for LAA</w:t>
      </w:r>
      <w:r w:rsidR="00227D82">
        <w:rPr>
          <w:color w:val="000000"/>
          <w:lang w:val="en-US" w:eastAsia="zh-CN"/>
        </w:rPr>
        <w:t xml:space="preserve"> and proposed the following:</w:t>
      </w:r>
    </w:p>
    <w:p w:rsidR="00797DBA" w:rsidRDefault="00797DBA" w:rsidP="00797DBA">
      <w:pPr>
        <w:rPr>
          <w:lang w:eastAsia="zh-CN"/>
        </w:rPr>
      </w:pPr>
      <w:r w:rsidRPr="00797DBA">
        <w:rPr>
          <w:b/>
          <w:u w:val="single"/>
          <w:lang w:eastAsia="zh-CN"/>
        </w:rPr>
        <w:t>Proposal 1</w:t>
      </w:r>
      <w:r>
        <w:rPr>
          <w:lang w:eastAsia="zh-CN"/>
        </w:rPr>
        <w:t>: PUCCH is always transmitted on licensed carriers. This should be taken into consideration in the discussion of the CA enhancement WI.</w:t>
      </w:r>
    </w:p>
    <w:p w:rsidR="00797DBA" w:rsidRDefault="00797DBA" w:rsidP="00797DBA">
      <w:pPr>
        <w:rPr>
          <w:lang w:eastAsia="zh-CN"/>
        </w:rPr>
      </w:pPr>
      <w:r w:rsidRPr="00797DBA">
        <w:rPr>
          <w:b/>
          <w:u w:val="single"/>
          <w:lang w:eastAsia="zh-CN"/>
        </w:rPr>
        <w:t>Proposal 2</w:t>
      </w:r>
      <w:r>
        <w:rPr>
          <w:lang w:eastAsia="zh-CN"/>
        </w:rPr>
        <w:t xml:space="preserve">: UL control </w:t>
      </w:r>
      <w:proofErr w:type="spellStart"/>
      <w:r>
        <w:rPr>
          <w:lang w:eastAsia="zh-CN"/>
        </w:rPr>
        <w:t>signaling</w:t>
      </w:r>
      <w:proofErr w:type="spellEnd"/>
      <w:r>
        <w:rPr>
          <w:lang w:eastAsia="zh-CN"/>
        </w:rPr>
        <w:t xml:space="preserve"> is not multiplexed on PUSCH on LAA carrier. It is carried on PUCCH or PUSCH on licensed carriers.</w:t>
      </w:r>
    </w:p>
    <w:p w:rsidR="00797DBA" w:rsidRDefault="00797DBA" w:rsidP="00797DBA">
      <w:pPr>
        <w:rPr>
          <w:lang w:eastAsia="zh-CN"/>
        </w:rPr>
      </w:pPr>
      <w:r w:rsidRPr="00797DBA">
        <w:rPr>
          <w:b/>
          <w:u w:val="single"/>
          <w:lang w:eastAsia="zh-CN"/>
        </w:rPr>
        <w:t>Proposal 3</w:t>
      </w:r>
      <w:r>
        <w:rPr>
          <w:lang w:eastAsia="zh-CN"/>
        </w:rPr>
        <w:t>: Both self-scheduling and cross-carrier scheduling should be supported for LAA carriers.</w:t>
      </w:r>
    </w:p>
    <w:p w:rsidR="005E6200" w:rsidRDefault="005E6200" w:rsidP="005E6200">
      <w:pPr>
        <w:rPr>
          <w:lang w:eastAsia="zh-CN"/>
        </w:rPr>
      </w:pPr>
      <w:r w:rsidRPr="005E6200">
        <w:rPr>
          <w:b/>
          <w:u w:val="single"/>
          <w:lang w:eastAsia="zh-CN"/>
        </w:rPr>
        <w:t>Observation</w:t>
      </w:r>
      <w:r>
        <w:rPr>
          <w:lang w:eastAsia="zh-CN"/>
        </w:rPr>
        <w:t>: Whether to have/enhance PHICH for LAA would depend on how UL HARQ is handled in LAA.</w:t>
      </w:r>
      <w:r w:rsidR="003150C1" w:rsidRPr="003150C1">
        <w:rPr>
          <w:lang w:eastAsia="zh-CN"/>
        </w:rPr>
        <w:t xml:space="preserve"> </w:t>
      </w:r>
      <w:r w:rsidR="003150C1">
        <w:rPr>
          <w:lang w:eastAsia="zh-CN"/>
        </w:rPr>
        <w:t>If asynchronous HARQ is supported, PHICH is no longer necessary.</w:t>
      </w:r>
    </w:p>
    <w:p w:rsidR="00876E21" w:rsidRPr="00876E21"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0" w:name="_Ref329618475"/>
      <w:bookmarkStart w:id="1" w:name="_Ref345423496"/>
    </w:p>
    <w:p w:rsidR="005E0A54" w:rsidRDefault="00E951E5" w:rsidP="00BC2E1F">
      <w:pPr>
        <w:numPr>
          <w:ilvl w:val="0"/>
          <w:numId w:val="20"/>
        </w:numPr>
        <w:jc w:val="left"/>
        <w:rPr>
          <w:color w:val="000000"/>
          <w:lang w:val="en-US" w:eastAsia="zh-CN"/>
        </w:rPr>
      </w:pPr>
      <w:bookmarkStart w:id="2" w:name="_Ref383195649"/>
      <w:bookmarkStart w:id="3" w:name="_Ref398850322"/>
      <w:bookmarkStart w:id="4" w:name="_Ref378958731"/>
      <w:bookmarkStart w:id="5" w:name="_Ref363478329"/>
      <w:bookmarkStart w:id="6" w:name="_Ref355753843"/>
      <w:bookmarkStart w:id="7" w:name="_Ref352785625"/>
      <w:bookmarkStart w:id="8" w:name="_Ref373254903"/>
      <w:bookmarkEnd w:id="0"/>
      <w:bookmarkEnd w:id="1"/>
      <w:r>
        <w:rPr>
          <w:color w:val="000000"/>
          <w:lang w:val="en-US" w:eastAsia="zh-CN"/>
        </w:rPr>
        <w:t>RP-141664</w:t>
      </w:r>
      <w:r w:rsidR="00086F78">
        <w:rPr>
          <w:color w:val="000000"/>
          <w:lang w:val="en-US" w:eastAsia="zh-CN"/>
        </w:rPr>
        <w:t>, “</w:t>
      </w:r>
      <w:r w:rsidRPr="00E951E5">
        <w:rPr>
          <w:color w:val="000000"/>
          <w:lang w:val="en-US" w:eastAsia="zh-CN"/>
        </w:rPr>
        <w:t>Study on Licensed-Assisted Access using LTE</w:t>
      </w:r>
      <w:r w:rsidR="00333DE9">
        <w:rPr>
          <w:color w:val="000000"/>
          <w:lang w:val="en-US" w:eastAsia="zh-CN"/>
        </w:rPr>
        <w:t>,</w:t>
      </w:r>
      <w:r w:rsidR="00086F78">
        <w:rPr>
          <w:color w:val="000000"/>
          <w:lang w:val="en-US" w:eastAsia="zh-CN"/>
        </w:rPr>
        <w:t>”</w:t>
      </w:r>
      <w:bookmarkEnd w:id="2"/>
      <w:r w:rsidR="00333DE9">
        <w:rPr>
          <w:color w:val="000000"/>
          <w:lang w:val="en-US" w:eastAsia="zh-CN"/>
        </w:rPr>
        <w:t xml:space="preserve"> </w:t>
      </w:r>
      <w:r w:rsidR="00333DE9" w:rsidRPr="00333DE9">
        <w:rPr>
          <w:color w:val="000000"/>
          <w:lang w:val="en-US" w:eastAsia="zh-CN"/>
        </w:rPr>
        <w:t>Ericsson, Qualcomm, Huawei, Alcatel-Lucent</w:t>
      </w:r>
      <w:r w:rsidR="00333DE9">
        <w:rPr>
          <w:color w:val="000000"/>
          <w:lang w:val="en-US" w:eastAsia="zh-CN"/>
        </w:rPr>
        <w:t>, RAN#65, September 2014</w:t>
      </w:r>
      <w:r w:rsidR="00086F78">
        <w:rPr>
          <w:color w:val="000000"/>
          <w:lang w:val="en-US" w:eastAsia="zh-CN"/>
        </w:rPr>
        <w:t>.</w:t>
      </w:r>
      <w:bookmarkStart w:id="9" w:name="_GoBack"/>
      <w:bookmarkEnd w:id="3"/>
      <w:bookmarkEnd w:id="4"/>
      <w:bookmarkEnd w:id="5"/>
      <w:bookmarkEnd w:id="6"/>
      <w:bookmarkEnd w:id="7"/>
      <w:bookmarkEnd w:id="8"/>
      <w:bookmarkEnd w:id="9"/>
    </w:p>
    <w:p w:rsidR="00797DBA" w:rsidRDefault="00797DBA" w:rsidP="00BC2E1F">
      <w:pPr>
        <w:numPr>
          <w:ilvl w:val="0"/>
          <w:numId w:val="20"/>
        </w:numPr>
        <w:jc w:val="left"/>
        <w:rPr>
          <w:color w:val="000000"/>
          <w:lang w:val="en-US" w:eastAsia="zh-CN"/>
        </w:rPr>
      </w:pPr>
      <w:bookmarkStart w:id="10" w:name="_Ref410164802"/>
      <w:r>
        <w:rPr>
          <w:color w:val="000000"/>
          <w:lang w:val="en-US" w:eastAsia="zh-CN"/>
        </w:rPr>
        <w:t>RP-142286, “</w:t>
      </w:r>
      <w:r w:rsidRPr="00797DBA">
        <w:rPr>
          <w:color w:val="000000"/>
          <w:lang w:val="en-US" w:eastAsia="zh-CN"/>
        </w:rPr>
        <w:t>LTE Carrier Aggregation Enhancement Beyond 5 Carriers</w:t>
      </w:r>
      <w:r>
        <w:rPr>
          <w:color w:val="000000"/>
          <w:lang w:val="en-US" w:eastAsia="zh-CN"/>
        </w:rPr>
        <w:t xml:space="preserve">,” </w:t>
      </w:r>
      <w:r w:rsidRPr="00797DBA">
        <w:rPr>
          <w:color w:val="000000"/>
          <w:lang w:val="en-US" w:eastAsia="zh-CN"/>
        </w:rPr>
        <w:t xml:space="preserve">Nokia Corporation, NTT </w:t>
      </w:r>
      <w:proofErr w:type="spellStart"/>
      <w:r w:rsidRPr="00797DBA">
        <w:rPr>
          <w:color w:val="000000"/>
          <w:lang w:val="en-US" w:eastAsia="zh-CN"/>
        </w:rPr>
        <w:t>DoCoMo</w:t>
      </w:r>
      <w:proofErr w:type="spellEnd"/>
      <w:r w:rsidRPr="00797DBA">
        <w:rPr>
          <w:color w:val="000000"/>
          <w:lang w:val="en-US" w:eastAsia="zh-CN"/>
        </w:rPr>
        <w:t xml:space="preserve"> Inc., Nokia Networks</w:t>
      </w:r>
      <w:r>
        <w:rPr>
          <w:color w:val="000000"/>
          <w:lang w:val="en-US" w:eastAsia="zh-CN"/>
        </w:rPr>
        <w:t>, RAN#66, Dec. 2014.</w:t>
      </w:r>
      <w:bookmarkEnd w:id="10"/>
    </w:p>
    <w:p w:rsidR="003150C1" w:rsidRDefault="003150C1" w:rsidP="00BC2E1F">
      <w:pPr>
        <w:numPr>
          <w:ilvl w:val="0"/>
          <w:numId w:val="20"/>
        </w:numPr>
        <w:jc w:val="left"/>
        <w:rPr>
          <w:color w:val="000000"/>
          <w:lang w:val="en-US" w:eastAsia="zh-CN"/>
        </w:rPr>
      </w:pPr>
      <w:bookmarkStart w:id="11" w:name="_Ref414397190"/>
      <w:r>
        <w:rPr>
          <w:color w:val="000000"/>
          <w:lang w:val="en-US" w:eastAsia="zh-CN"/>
        </w:rPr>
        <w:t>R1-151087, “</w:t>
      </w:r>
      <w:r w:rsidRPr="00393B4C">
        <w:rPr>
          <w:lang w:eastAsia="zh-CN"/>
        </w:rPr>
        <w:t>Potential HARQ Enhancements for LAA</w:t>
      </w:r>
      <w:r>
        <w:rPr>
          <w:lang w:eastAsia="zh-CN"/>
        </w:rPr>
        <w:t>,</w:t>
      </w:r>
      <w:r>
        <w:rPr>
          <w:color w:val="000000"/>
          <w:lang w:val="en-US" w:eastAsia="zh-CN"/>
        </w:rPr>
        <w:t xml:space="preserve">” </w:t>
      </w:r>
      <w:r>
        <w:rPr>
          <w:lang w:eastAsia="zh-CN"/>
        </w:rPr>
        <w:t>Alcatel-Lucent Shanghai Bell</w:t>
      </w:r>
      <w:r>
        <w:rPr>
          <w:rFonts w:hint="eastAsia"/>
          <w:lang w:eastAsia="zh-CN"/>
        </w:rPr>
        <w:t>,</w:t>
      </w:r>
      <w:r>
        <w:t xml:space="preserve"> Alcatel</w:t>
      </w:r>
      <w:r>
        <w:rPr>
          <w:lang w:eastAsia="zh-CN"/>
        </w:rPr>
        <w:t>-Lucent, RAN1-LAA, Mar. 2015.</w:t>
      </w:r>
      <w:bookmarkEnd w:id="11"/>
    </w:p>
    <w:sectPr w:rsidR="003150C1"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2EC" w:rsidRDefault="00AE72EC">
      <w:r>
        <w:separator/>
      </w:r>
    </w:p>
  </w:endnote>
  <w:endnote w:type="continuationSeparator" w:id="0">
    <w:p w:rsidR="00AE72EC" w:rsidRDefault="00AE72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9D28E1">
    <w:pPr>
      <w:pStyle w:val="Footer"/>
      <w:framePr w:wrap="around" w:vAnchor="text" w:hAnchor="margin" w:xAlign="right" w:y="1"/>
      <w:rPr>
        <w:rStyle w:val="PageNumber"/>
      </w:rPr>
    </w:pPr>
    <w:r>
      <w:rPr>
        <w:rStyle w:val="PageNumber"/>
      </w:rPr>
      <w:fldChar w:fldCharType="begin"/>
    </w:r>
    <w:r w:rsidR="007369C2">
      <w:rPr>
        <w:rStyle w:val="PageNumber"/>
      </w:rPr>
      <w:instrText xml:space="preserve">PAGE  </w:instrText>
    </w:r>
    <w:r>
      <w:rPr>
        <w:rStyle w:val="PageNumber"/>
      </w:rPr>
      <w:fldChar w:fldCharType="separate"/>
    </w:r>
    <w:r w:rsidR="007369C2">
      <w:rPr>
        <w:rStyle w:val="PageNumber"/>
        <w:noProof/>
      </w:rPr>
      <w:t>3</w:t>
    </w:r>
    <w:r>
      <w:rPr>
        <w:rStyle w:val="PageNumber"/>
      </w:rPr>
      <w:fldChar w:fldCharType="end"/>
    </w:r>
  </w:p>
  <w:p w:rsidR="007369C2" w:rsidRDefault="007369C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Pr="00217773" w:rsidRDefault="007369C2" w:rsidP="00AD3A03">
    <w:pPr>
      <w:tabs>
        <w:tab w:val="right" w:pos="8789"/>
      </w:tabs>
      <w:spacing w:before="0"/>
      <w:rPr>
        <w:rStyle w:val="PageNumber"/>
        <w:b/>
        <w:szCs w:val="22"/>
        <w:lang w:val="en-US" w:eastAsia="zh-CN"/>
      </w:rPr>
    </w:pPr>
    <w:r w:rsidRPr="00217773">
      <w:rPr>
        <w:b/>
        <w:szCs w:val="22"/>
        <w:lang w:val="en-US"/>
      </w:rPr>
      <w:tab/>
      <w:t xml:space="preserve">Page </w:t>
    </w:r>
    <w:r w:rsidR="009D28E1" w:rsidRPr="00217773">
      <w:rPr>
        <w:rStyle w:val="PageNumber"/>
        <w:b/>
        <w:szCs w:val="22"/>
        <w:lang w:val="en-US"/>
      </w:rPr>
      <w:fldChar w:fldCharType="begin"/>
    </w:r>
    <w:r w:rsidRPr="00217773">
      <w:rPr>
        <w:rStyle w:val="PageNumber"/>
        <w:b/>
        <w:szCs w:val="22"/>
        <w:lang w:val="en-US"/>
      </w:rPr>
      <w:instrText xml:space="preserve"> PAGE </w:instrText>
    </w:r>
    <w:r w:rsidR="009D28E1" w:rsidRPr="00217773">
      <w:rPr>
        <w:rStyle w:val="PageNumber"/>
        <w:b/>
        <w:szCs w:val="22"/>
        <w:lang w:val="en-US"/>
      </w:rPr>
      <w:fldChar w:fldCharType="separate"/>
    </w:r>
    <w:r w:rsidR="0015234C">
      <w:rPr>
        <w:rStyle w:val="PageNumber"/>
        <w:b/>
        <w:noProof/>
        <w:szCs w:val="22"/>
        <w:lang w:val="en-US"/>
      </w:rPr>
      <w:t>3</w:t>
    </w:r>
    <w:r w:rsidR="009D28E1"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2EC" w:rsidRDefault="00AE72EC">
      <w:r>
        <w:separator/>
      </w:r>
    </w:p>
  </w:footnote>
  <w:footnote w:type="continuationSeparator" w:id="0">
    <w:p w:rsidR="00AE72EC" w:rsidRDefault="00AE72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9D28E1">
    <w:pPr>
      <w:pStyle w:val="Header"/>
    </w:pPr>
    <w:r w:rsidRPr="009D28E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9D28E1">
    <w:pPr>
      <w:pStyle w:val="Header"/>
    </w:pPr>
    <w:r w:rsidRPr="009D28E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9D28E1">
    <w:pPr>
      <w:pStyle w:val="Header"/>
    </w:pPr>
    <w:r w:rsidRPr="009D28E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974517D"/>
    <w:multiLevelType w:val="hybridMultilevel"/>
    <w:tmpl w:val="F9CC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07B47"/>
    <w:multiLevelType w:val="hybridMultilevel"/>
    <w:tmpl w:val="B17C891C"/>
    <w:lvl w:ilvl="0" w:tplc="102CB1DA">
      <w:start w:val="1"/>
      <w:numFmt w:val="decimal"/>
      <w:lvlText w:val="%1."/>
      <w:lvlJc w:val="left"/>
      <w:pPr>
        <w:ind w:left="420" w:hanging="420"/>
      </w:pPr>
      <w:rPr>
        <w:rFonts w:cs="Times New Roman" w:hint="eastAsia"/>
      </w:rPr>
    </w:lvl>
    <w:lvl w:ilvl="1" w:tplc="09BCB55A">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2336AB"/>
    <w:multiLevelType w:val="hybridMultilevel"/>
    <w:tmpl w:val="00F61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2">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3">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D6556A2"/>
    <w:multiLevelType w:val="hybridMultilevel"/>
    <w:tmpl w:val="9CCCE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2"/>
  </w:num>
  <w:num w:numId="3">
    <w:abstractNumId w:val="2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19"/>
  </w:num>
  <w:num w:numId="16">
    <w:abstractNumId w:val="28"/>
  </w:num>
  <w:num w:numId="17">
    <w:abstractNumId w:val="20"/>
  </w:num>
  <w:num w:numId="18">
    <w:abstractNumId w:val="18"/>
  </w:num>
  <w:num w:numId="19">
    <w:abstractNumId w:val="25"/>
  </w:num>
  <w:num w:numId="20">
    <w:abstractNumId w:val="17"/>
  </w:num>
  <w:num w:numId="21">
    <w:abstractNumId w:val="12"/>
  </w:num>
  <w:num w:numId="22">
    <w:abstractNumId w:val="10"/>
  </w:num>
  <w:num w:numId="23">
    <w:abstractNumId w:val="13"/>
  </w:num>
  <w:num w:numId="24">
    <w:abstractNumId w:val="16"/>
  </w:num>
  <w:num w:numId="25">
    <w:abstractNumId w:val="14"/>
  </w:num>
  <w:num w:numId="26">
    <w:abstractNumId w:val="23"/>
  </w:num>
  <w:num w:numId="27">
    <w:abstractNumId w:val="11"/>
  </w:num>
  <w:num w:numId="28">
    <w:abstractNumId w:val="26"/>
  </w:num>
  <w:num w:numId="29">
    <w:abstractNumId w:val="15"/>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16386"/>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332"/>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4DA"/>
    <w:rsid w:val="000B3984"/>
    <w:rsid w:val="000B3E64"/>
    <w:rsid w:val="000B3FCE"/>
    <w:rsid w:val="000B44E0"/>
    <w:rsid w:val="000B4512"/>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899"/>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34C"/>
    <w:rsid w:val="001529A2"/>
    <w:rsid w:val="00152C71"/>
    <w:rsid w:val="00153CB4"/>
    <w:rsid w:val="0015459B"/>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0FC1"/>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762"/>
    <w:rsid w:val="00221AD8"/>
    <w:rsid w:val="00221D72"/>
    <w:rsid w:val="00222130"/>
    <w:rsid w:val="00222494"/>
    <w:rsid w:val="00222659"/>
    <w:rsid w:val="00222AB7"/>
    <w:rsid w:val="00224C50"/>
    <w:rsid w:val="0022508E"/>
    <w:rsid w:val="00226013"/>
    <w:rsid w:val="0022644A"/>
    <w:rsid w:val="002266BF"/>
    <w:rsid w:val="00227D82"/>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19E"/>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1B4"/>
    <w:rsid w:val="00313ABA"/>
    <w:rsid w:val="00313CC7"/>
    <w:rsid w:val="003143C1"/>
    <w:rsid w:val="00314458"/>
    <w:rsid w:val="0031474B"/>
    <w:rsid w:val="003149BA"/>
    <w:rsid w:val="003150C1"/>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C7FBC"/>
    <w:rsid w:val="004D0BFA"/>
    <w:rsid w:val="004D0D8D"/>
    <w:rsid w:val="004D16E5"/>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4685"/>
    <w:rsid w:val="00534FDD"/>
    <w:rsid w:val="005350B5"/>
    <w:rsid w:val="00535DC6"/>
    <w:rsid w:val="0054075A"/>
    <w:rsid w:val="00540FF1"/>
    <w:rsid w:val="00541D78"/>
    <w:rsid w:val="0054203F"/>
    <w:rsid w:val="0054249F"/>
    <w:rsid w:val="005427BA"/>
    <w:rsid w:val="00542ECF"/>
    <w:rsid w:val="005435A6"/>
    <w:rsid w:val="00543978"/>
    <w:rsid w:val="00543DF3"/>
    <w:rsid w:val="00543FDF"/>
    <w:rsid w:val="0054476E"/>
    <w:rsid w:val="00545F98"/>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6782"/>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200"/>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D7FB2"/>
    <w:rsid w:val="006E0EA3"/>
    <w:rsid w:val="006E0FBC"/>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9C2"/>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587C"/>
    <w:rsid w:val="00765D0E"/>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97DBA"/>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499"/>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3BB4"/>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5FCA"/>
    <w:rsid w:val="008F66A8"/>
    <w:rsid w:val="008F6E4F"/>
    <w:rsid w:val="008F6F8E"/>
    <w:rsid w:val="008F7882"/>
    <w:rsid w:val="008F7F7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0EF5"/>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28E1"/>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47EE"/>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E72EC"/>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C92"/>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0DA4"/>
    <w:rsid w:val="00B91C77"/>
    <w:rsid w:val="00B91C8C"/>
    <w:rsid w:val="00B9259A"/>
    <w:rsid w:val="00B9351C"/>
    <w:rsid w:val="00B9380C"/>
    <w:rsid w:val="00B94041"/>
    <w:rsid w:val="00B94099"/>
    <w:rsid w:val="00B9418B"/>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07FE7"/>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65A3"/>
    <w:rsid w:val="00C470D6"/>
    <w:rsid w:val="00C471A2"/>
    <w:rsid w:val="00C47377"/>
    <w:rsid w:val="00C503C9"/>
    <w:rsid w:val="00C505B7"/>
    <w:rsid w:val="00C50A86"/>
    <w:rsid w:val="00C5192B"/>
    <w:rsid w:val="00C528B3"/>
    <w:rsid w:val="00C52B1B"/>
    <w:rsid w:val="00C52D2D"/>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441"/>
    <w:rsid w:val="00D44BC5"/>
    <w:rsid w:val="00D45389"/>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05"/>
    <w:rsid w:val="00D865E8"/>
    <w:rsid w:val="00D86C58"/>
    <w:rsid w:val="00D86C6F"/>
    <w:rsid w:val="00D87168"/>
    <w:rsid w:val="00D87479"/>
    <w:rsid w:val="00D878A1"/>
    <w:rsid w:val="00D87D56"/>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290"/>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5DC8"/>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01E4"/>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52118-3AB5-4201-B164-BD4A61C53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3</Pages>
  <Words>1012</Words>
  <Characters>5772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6771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Alcatel-Lucent</dc:creator>
  <cp:lastModifiedBy>Sigen Ye</cp:lastModifiedBy>
  <cp:revision>223</cp:revision>
  <cp:lastPrinted>2015-01-26T11:07:00Z</cp:lastPrinted>
  <dcterms:created xsi:type="dcterms:W3CDTF">2015-01-26T09:16:00Z</dcterms:created>
  <dcterms:modified xsi:type="dcterms:W3CDTF">2015-03-18T03:13:00Z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